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Расчет размера целевого взноса </w:t>
      </w:r>
    </w:p>
    <w:p>
      <w:pPr>
        <w:spacing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установку автоматического шлагбаума </w:t>
      </w:r>
      <w:r>
        <w:rPr>
          <w:rFonts w:eastAsia="Times New Roman"/>
          <w:b/>
          <w:bCs/>
          <w:color w:val="000000"/>
          <w:sz w:val="28"/>
          <w:szCs w:val="28"/>
        </w:rPr>
      </w:r>
    </w:p>
    <w:p>
      <w:pPr>
        <w:spacing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на въезде в СНТСН «Полярная усадьба», </w:t>
      </w:r>
    </w:p>
    <w:p>
      <w:pPr>
        <w:spacing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устройство освещения и видеонаблюдения</w:t>
      </w:r>
    </w:p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1. Перечень и размер расходов.</w:t>
      </w:r>
    </w:p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tbl>
      <w:tblPr>
        <w:name w:val="Таблица1"/>
        <w:tabOrder w:val="0"/>
        <w:jc w:val="left"/>
        <w:tblInd w:w="0" w:type="dxa"/>
        <w:tblW w:w="12885" w:type="dxa"/>
      </w:tblPr>
      <w:tblGrid>
        <w:gridCol w:w="435"/>
        <w:gridCol w:w="1110"/>
        <w:gridCol w:w="6660"/>
        <w:gridCol w:w="1365"/>
        <w:gridCol w:w="1575"/>
        <w:gridCol w:w="1740"/>
      </w:tblGrid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  <w:t>№ п/п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  <w:t>Дата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  <w:t>Назначение платежа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  <w:t>Плательщик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  <w:t>Получатель платежа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22"/>
                <w:szCs w:val="24"/>
                <w:lang w:val="ru-ru" w:eastAsia="zh-cn" w:bidi="ar-sa"/>
              </w:rPr>
              <w:t xml:space="preserve">Сумма 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07.07.2020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Комплект автоматического гидравл шлагбаума FAAC 640 LH зимний, GSM контроллер, обогреватель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ИП Королев Р.В.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50 000,00р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20.07.2020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Комплект автоматического гидравл шлагбаума FAAC 640 LH зимний, комплектующие и обогреватель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ИП Королев Р.В.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114 500,00р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3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05.08.2020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светоотражающую краску для шлагбаума, бетонных оснований и элементов безопасности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ИП Тройной Ю.И.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14 427,00р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4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18.09.2020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двухстенную гофрированную трубу 50мм для силового кабеля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"Лэдкул"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7 686,00р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5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18.09.2020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Источник бесперебойного питания-инвертор Энергия ИБП Pro-1000 12 V и аккумулятор Энергия АКБ 12-100 (тип AGM)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"Энергия"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39 125,00р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6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24.09.2020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телекоммуникационный шкаф и комплектующие для размещения видеосервера, приборов управления СКУД и шлагбаума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"Солярис"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26 923,00р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7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01.10.2020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крепежные элементы для монтажа системы ограждения шлагбаума и стоек безопасности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"Руссстрой-М"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10 950,66р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8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15.10.2020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электрокабельную продукциюя для монтажа автомат шлагбаума и СКУД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"Промэлектросвет"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28 972,62р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9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15.10.2020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ПНД-трубу (100м) для прокладки слаботочного кабеля управления шлагбаумом и СКУД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"Руссмтрой-М"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3 430,00р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10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19.10.2020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цемент, монтажную пену и пластификатор бетона для изготовления оснований элементов автоматич шлагбаума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"Руссмтрой-М"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7 163,68р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11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27.10.2020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уличные светильники STL-120W03 120 вт и STL-70W03 70 вт (4 шт)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"МЛС"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12 600,00р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12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27.10.2020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смарт-карты Mifare для шлагбаума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"Ю.С.Пласт"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13 800,00р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13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27.10.2020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панель управления шлагбаумом FAAC XB300 3-х кнопочную с ключом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ИП "Королев Р.В.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3 106,75р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14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28.10.2020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IP-видеокамеры EVC-ZM^)-SL20PVAF 2.0 MP с автофокусом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"Протектсис"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21 890,00р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15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29.10.2020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SOU-1 + fotosensor SKS/UNI сумеречный включатель с сенсором (2 шт)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"ЭЛКО ЭП РУС"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5 377,94р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16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02.11.2020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GSM-антенну и кабель для контроллера PAL-ES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"Интеллектуальная техника"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430,00р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17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16.11.2020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профильные трубы мачт освещения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"ПКП Металлон"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19 100,00р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18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11.12.2020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плоский шифер (3 листа) для изготовления опалубки автомат шлагбаума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"Бавария плюс ремонт"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4 200,00р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19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14.12.2020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систему контроля доступа PERCO" для автомат шлагбаума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"ПЕРКО"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65 607,83р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20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17.12.2020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HDD-диски (2 шт. по 4 Тб) для видеорегистратора Dahua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"Проф строй сервис"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16 700,00р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21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17.12.2020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 xml:space="preserve">За монтаж и настройку  системы автомат шлагбаума 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"Проф строй сервис"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11 750,00р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22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27.12.2020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проведение земляных работ для монтажа бетонных оснований под автомат шлагбаум, элементы безопасности и освещения въезда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ИП "Воробоьев П.Н.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16 000,00р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23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22.01.2021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услуги подвижной сотовой радиосвязи и мобильного интернета для GSM-контроллера шлагбаума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ПАО "Мегафон"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4 800,00р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24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22.01.2021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системный блок Acer Veriton X2665G DT.VSEER.00R и операционную систему Windows Home 10 32-bit для ситемы СКУД автомат шлагбаума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"МВМ"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35 980,00р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25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27.01.2021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трубу поликарбонатную и клей космофен для стрелы автомат щлагбаума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ТД "Андраус"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7 260,00р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26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11.02.2021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гибридный 32-х канальный видеорегистратор DHI-XVR5832S Dahua для поселковой системы видеонаблюдения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"Проф строй сервис"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45 000,00р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27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11.02.2021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За стабилизатор сетевого напряжения CHAC-5000H VIP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ООО "Проф строй сервис"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12 000,00р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28</w:t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27.10.2020 05.11.2020</w:t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Изготовление опалубок из плоского шифера (три листа); подготовка бетонной смеси; ручное выравнивание котлованов под бетонные основания шлагбаума, элементов безопасности и осветительных мачт; заливка бетонной смеси; ручное выравнивание траншей и прокладка в них кабельных групп в помещения КПП и правления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ТСН "Полярная усадьба"</w:t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Коваль В.М,</w:t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  <w:t>30 000,00р</w:t>
            </w:r>
          </w:p>
        </w:tc>
      </w:tr>
      <w:tr>
        <w:trPr>
          <w:trHeight w:val="0" w:hRule="auto"/>
        </w:trPr>
        <w:tc>
          <w:tcPr>
            <w:tcW w:w="43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widowControl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r>
          </w:p>
        </w:tc>
        <w:tc>
          <w:tcPr>
            <w:tcW w:w="111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widowControl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pPr>
            <w:r>
              <w:rPr>
                <w:rFonts w:eastAsia="Times New Roman"/>
                <w:color w:val="000000"/>
                <w:sz w:val="22"/>
                <w:szCs w:val="24"/>
                <w:lang w:val="ru-ru" w:eastAsia="zh-cn" w:bidi="ar-sa"/>
              </w:rPr>
            </w:r>
          </w:p>
        </w:tc>
        <w:tc>
          <w:tcPr>
            <w:tcW w:w="666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3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32"/>
                <w:szCs w:val="24"/>
                <w:lang w:val="ru-ru" w:eastAsia="zh-cn" w:bidi="ar-sa"/>
              </w:rPr>
              <w:t xml:space="preserve">И Т О Г О </w:t>
            </w:r>
          </w:p>
        </w:tc>
        <w:tc>
          <w:tcPr>
            <w:tcW w:w="136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3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32"/>
                <w:szCs w:val="24"/>
                <w:lang w:val="ru-ru" w:eastAsia="zh-cn" w:bidi="ar-sa"/>
              </w:rPr>
            </w:r>
          </w:p>
        </w:tc>
        <w:tc>
          <w:tcPr>
            <w:tcW w:w="1575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3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32"/>
                <w:szCs w:val="24"/>
                <w:lang w:val="ru-ru" w:eastAsia="zh-cn" w:bidi="ar-sa"/>
              </w:rPr>
            </w:r>
          </w:p>
        </w:tc>
        <w:tc>
          <w:tcPr>
            <w:tcW w:w="1740" w:type="dxa"/>
            <w:vAlign w:val="center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"/>
              <w:left w:val="single" w:sz="8" w:space="0" w:color="000000" tmln="20, 20, 20, 0"/>
              <w:bottom w:val="single" w:sz="8" w:space="0" w:color="000000" tmln="20, 20, 20, 0"/>
              <w:right w:val="single" w:sz="8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16333916" protected="0"/>
          </w:tcPr>
          <w:p>
            <w:pPr>
              <w:spacing/>
              <w:jc w:val="center"/>
              <w:suppressAutoHyphens/>
              <w:hyphenationLines w:val="0"/>
              <w:outlineLv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rFonts w:eastAsia="Times New Roman"/>
                <w:b/>
                <w:color w:val="000000"/>
                <w:sz w:val="32"/>
                <w:szCs w:val="24"/>
                <w:lang w:val="ru-ru" w:eastAsia="zh-cn" w:bidi="ar-sa"/>
              </w:rPr>
            </w:pPr>
            <w:r>
              <w:rPr>
                <w:rFonts w:eastAsia="Times New Roman"/>
                <w:b/>
                <w:color w:val="000000"/>
                <w:sz w:val="32"/>
                <w:szCs w:val="24"/>
                <w:lang w:val="ru-ru" w:eastAsia="zh-cn" w:bidi="ar-sa"/>
              </w:rPr>
              <w:t>628 780,48р</w:t>
            </w:r>
          </w:p>
        </w:tc>
      </w:tr>
    </w:tbl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 Количество собственников земельных участков СНТСН «Полярная усадьба», призываемых к уплате целевого взноса - </w:t>
      </w:r>
      <w:r>
        <w:rPr>
          <w:rFonts w:eastAsia="Times New Roman"/>
          <w:b/>
          <w:bCs/>
          <w:color w:val="000000"/>
          <w:sz w:val="28"/>
          <w:szCs w:val="28"/>
          <w:u w:color="auto" w:val="single"/>
        </w:rPr>
        <w:t>68</w:t>
      </w:r>
      <w:r>
        <w:rPr>
          <w:rFonts w:eastAsia="Times New Roman"/>
          <w:color w:val="000000"/>
          <w:sz w:val="28"/>
          <w:szCs w:val="28"/>
        </w:rPr>
        <w:t>.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>(земельные участки №№ 7-16, 18-26, 35, 38, 39, 43,46, 53, 54, 58, 62, 67-75, 78, 80-83, 86, 87, 93, 96, 97, 99, 102-105, 107-110, 112, 118, 120, 123-125, 128, 129, 132-135)</w:t>
      </w:r>
      <w:r>
        <w:rPr>
          <w:rFonts w:eastAsia="Times New Roman"/>
          <w:color w:val="000000"/>
          <w:sz w:val="28"/>
          <w:szCs w:val="28"/>
        </w:rPr>
        <w:t xml:space="preserve">.  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8"/>
        <w:spacing/>
        <w:jc w:val="both"/>
        <w:rPr>
          <w:rFonts w:eastAsia="Times New Roman"/>
          <w:b/>
          <w:bCs/>
          <w:color w:val="000000"/>
          <w:sz w:val="28"/>
          <w:szCs w:val="28"/>
          <w:u w:color="auto" w:val="single"/>
        </w:rPr>
      </w:pPr>
      <w:r>
        <w:rPr>
          <w:rFonts w:eastAsia="Times New Roman"/>
          <w:color w:val="000000"/>
          <w:sz w:val="28"/>
          <w:szCs w:val="28"/>
        </w:rPr>
        <w:t xml:space="preserve">3. Планируемое количество собственников земельных участков коттеджного поселка Норвежская деревня, которые могут принять участие в уплате целевого взноса - не менее </w:t>
      </w:r>
      <w:r>
        <w:rPr>
          <w:rFonts w:eastAsia="Times New Roman"/>
          <w:b/>
          <w:bCs/>
          <w:color w:val="000000"/>
          <w:sz w:val="28"/>
          <w:szCs w:val="28"/>
          <w:u w:color="auto" w:val="single"/>
        </w:rPr>
        <w:t>20.</w:t>
      </w:r>
      <w:r>
        <w:rPr>
          <w:rFonts w:eastAsia="Times New Roman"/>
          <w:b/>
          <w:bCs/>
          <w:color w:val="000000"/>
          <w:sz w:val="28"/>
          <w:szCs w:val="28"/>
          <w:u w:color="auto" w:val="single"/>
        </w:rPr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4. Размер целевого взноса составит </w:t>
      </w:r>
      <w:r>
        <w:rPr>
          <w:rFonts w:eastAsia="Times New Roman"/>
          <w:b/>
          <w:bCs/>
          <w:color w:val="000000"/>
          <w:sz w:val="28"/>
          <w:szCs w:val="28"/>
        </w:rPr>
        <w:t>7145,23 руб.</w:t>
      </w:r>
      <w:r>
        <w:rPr>
          <w:rFonts w:eastAsia="Times New Roman"/>
          <w:color w:val="000000"/>
          <w:sz w:val="28"/>
          <w:szCs w:val="28"/>
        </w:rPr>
        <w:t xml:space="preserve"> Исходя из следующего расчета - 628780,48 : (68+20)=7145,23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Примечание: </w:t>
      </w:r>
      <w:r>
        <w:rPr>
          <w:rFonts w:eastAsia="Times New Roman"/>
          <w:i/>
          <w:iCs/>
          <w:color w:val="000000"/>
          <w:sz w:val="28"/>
          <w:szCs w:val="28"/>
        </w:rPr>
        <w:t>в случае, если до дня проведения общего собрания количество плательщиков целевого взноса увеличится, размер целевого взноса будет перерасчитан в сторону уменьшения.</w:t>
      </w:r>
      <w:r>
        <w:rPr>
          <w:rFonts w:eastAsia="Times New Roman"/>
          <w:color w:val="000000"/>
          <w:sz w:val="28"/>
          <w:szCs w:val="28"/>
        </w:rPr>
      </w:r>
    </w:p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1907" w:w="16839" w:orient="landscape"/>
      <w:pgMar w:left="1134" w:top="1134" w:right="1134" w:bottom="1134"/>
      <w:paperSrc w:first="0" w:other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3"/>
    <w:tmLastPosSelect w:val="0"/>
    <w:tmLastPosFrameIdx w:val="0"/>
    <w:tmLastPosCaret>
      <w:tmLastPosPgfIdx w:val="18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16333916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paragraph" w:styleId="para7">
    <w:name w:val="No Spacing"/>
    <w:qFormat/>
    <w:rPr>
      <w:rFonts w:eastAsia="Times New Roman"/>
      <w:sz w:val="24"/>
      <w:szCs w:val="24"/>
    </w:rPr>
  </w:style>
  <w:style w:type="character" w:styleId="char0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paragraph" w:styleId="para7">
    <w:name w:val="No Spacing"/>
    <w:qFormat/>
    <w:rPr>
      <w:rFonts w:eastAsia="Times New Roman"/>
      <w:sz w:val="24"/>
      <w:szCs w:val="24"/>
    </w:rPr>
  </w:style>
  <w:style w:type="character" w:styleId="char0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2021-03-19T13:48:04Z</dcterms:created>
  <dcterms:modified xsi:type="dcterms:W3CDTF">2021-03-21T13:38:36Z</dcterms:modified>
</cp:coreProperties>
</file>